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61" w:rsidRPr="00450DD2" w:rsidRDefault="006B4E97">
      <w:pPr>
        <w:rPr>
          <w:b/>
        </w:rPr>
      </w:pPr>
      <w:r w:rsidRPr="00450DD2">
        <w:rPr>
          <w:b/>
        </w:rPr>
        <w:t>Treasurer’s Report</w:t>
      </w:r>
      <w:r w:rsidR="00243CAD">
        <w:rPr>
          <w:b/>
        </w:rPr>
        <w:t xml:space="preserve"> – first draft</w:t>
      </w:r>
    </w:p>
    <w:p w:rsidR="003529AB" w:rsidRDefault="003529AB" w:rsidP="003529AB">
      <w:pPr>
        <w:pStyle w:val="SAH-BodyCopy11pt"/>
      </w:pPr>
      <w:r>
        <w:t>I present the financial report</w:t>
      </w:r>
      <w:r w:rsidR="00BD73A4">
        <w:t xml:space="preserve"> from our bookkeeper for 22/23 and </w:t>
      </w:r>
      <w:r>
        <w:t>attach the report</w:t>
      </w:r>
      <w:r w:rsidR="00774561">
        <w:t xml:space="preserve"> from Lotus Smart Accountants Pty Ltd received 17.11.2023 and table it for the AGM</w:t>
      </w:r>
    </w:p>
    <w:p w:rsidR="00774561" w:rsidRDefault="00774561" w:rsidP="003529AB">
      <w:pPr>
        <w:pStyle w:val="SAH-BodyCopy11pt"/>
      </w:pPr>
      <w:r>
        <w:t xml:space="preserve">I recommend that we appoint Grant Thornton as AWL auditors in place of Crowe </w:t>
      </w:r>
      <w:proofErr w:type="spellStart"/>
      <w:r>
        <w:t>Horwarth</w:t>
      </w:r>
      <w:proofErr w:type="spellEnd"/>
      <w:r>
        <w:t xml:space="preserve">, subject to Grant Thornton being agreeable to the appointment and </w:t>
      </w:r>
      <w:r w:rsidR="00EB3AC7">
        <w:t xml:space="preserve">subjects </w:t>
      </w:r>
      <w:r>
        <w:t>to other recommendations throughout the year.</w:t>
      </w:r>
    </w:p>
    <w:p w:rsidR="00774561" w:rsidRDefault="00774561" w:rsidP="003529AB">
      <w:pPr>
        <w:pStyle w:val="SAH-BodyCopy11pt"/>
      </w:pPr>
      <w:r>
        <w:t xml:space="preserve">We have had to change our bookkeeper and have appointed Lotus Smart Accountants Pty Ltd as recommended by Catherine Wilkinson of </w:t>
      </w:r>
      <w:proofErr w:type="spellStart"/>
      <w:r>
        <w:t>ckw</w:t>
      </w:r>
      <w:proofErr w:type="spellEnd"/>
      <w:r>
        <w:t xml:space="preserve"> bookkeeping</w:t>
      </w:r>
      <w:r w:rsidR="00C94CD5">
        <w:t xml:space="preserve"> (former bookkeeper)</w:t>
      </w:r>
      <w:bookmarkStart w:id="0" w:name="_GoBack"/>
      <w:bookmarkEnd w:id="0"/>
      <w:r>
        <w:t xml:space="preserve">. Catherine has liaised with </w:t>
      </w:r>
      <w:r w:rsidR="00CE7AF8">
        <w:t>Rajesh Acharya, a chartered accountant who runs a small group of qualified bookkeepers. Catherine has given Rajesh access to our bookkeeping records as necessary.</w:t>
      </w:r>
    </w:p>
    <w:p w:rsidR="00CE7AF8" w:rsidRDefault="00CE7AF8" w:rsidP="003529AB">
      <w:pPr>
        <w:pStyle w:val="SAH-BodyCopy11pt"/>
      </w:pPr>
      <w:r>
        <w:t xml:space="preserve">Westpac Bank has the following </w:t>
      </w:r>
      <w:r w:rsidR="0087521B">
        <w:t>listed as signatories:</w:t>
      </w:r>
    </w:p>
    <w:p w:rsidR="0087521B" w:rsidRDefault="0087521B" w:rsidP="003529AB">
      <w:pPr>
        <w:pStyle w:val="SAH-BodyCopy11pt"/>
      </w:pPr>
      <w:r>
        <w:t>Adrienne Morton</w:t>
      </w:r>
    </w:p>
    <w:p w:rsidR="0087521B" w:rsidRDefault="0087521B" w:rsidP="003529AB">
      <w:pPr>
        <w:pStyle w:val="SAH-BodyCopy11pt"/>
      </w:pPr>
      <w:r>
        <w:t xml:space="preserve">Astrid </w:t>
      </w:r>
      <w:proofErr w:type="spellStart"/>
      <w:r>
        <w:t>Haban</w:t>
      </w:r>
      <w:proofErr w:type="spellEnd"/>
      <w:r>
        <w:t>-Beer</w:t>
      </w:r>
    </w:p>
    <w:p w:rsidR="0087521B" w:rsidRDefault="0087521B" w:rsidP="003529AB">
      <w:pPr>
        <w:pStyle w:val="SAH-BodyCopy11pt"/>
      </w:pPr>
      <w:r>
        <w:t>Catherine Cheek</w:t>
      </w:r>
    </w:p>
    <w:p w:rsidR="0087521B" w:rsidRDefault="0087521B" w:rsidP="003529AB">
      <w:pPr>
        <w:pStyle w:val="SAH-BodyCopy11pt"/>
      </w:pPr>
      <w:r>
        <w:t>Harriet Boothman</w:t>
      </w:r>
    </w:p>
    <w:p w:rsidR="0087521B" w:rsidRDefault="0087521B" w:rsidP="003529AB">
      <w:pPr>
        <w:pStyle w:val="SAH-BodyCopy11pt"/>
      </w:pPr>
      <w:r>
        <w:t>Leah Marrone</w:t>
      </w:r>
    </w:p>
    <w:p w:rsidR="0087521B" w:rsidRDefault="0087521B" w:rsidP="003529AB">
      <w:pPr>
        <w:pStyle w:val="SAH-BodyCopy11pt"/>
      </w:pPr>
      <w:r>
        <w:t>Renee Bianchi</w:t>
      </w:r>
    </w:p>
    <w:p w:rsidR="00774561" w:rsidRDefault="0087521B" w:rsidP="003529AB">
      <w:pPr>
        <w:pStyle w:val="SAH-BodyCopy11pt"/>
      </w:pPr>
      <w:r>
        <w:t>We need to resolve that Adrienne Morton be removed as signatory.</w:t>
      </w:r>
    </w:p>
    <w:p w:rsidR="0087521B" w:rsidRDefault="0087521B" w:rsidP="003529AB">
      <w:pPr>
        <w:pStyle w:val="SAH-BodyCopy11pt"/>
      </w:pPr>
      <w:r>
        <w:t xml:space="preserve">I also need to investigate some irregularities with Renee’s status. She is not shown as being </w:t>
      </w:r>
      <w:proofErr w:type="gramStart"/>
      <w:r>
        <w:t>a</w:t>
      </w:r>
      <w:proofErr w:type="gramEnd"/>
      <w:r>
        <w:t xml:space="preserve"> “approver” and has no daily payment limit. She also is not recorded as having an active security device.</w:t>
      </w:r>
    </w:p>
    <w:p w:rsidR="0087521B" w:rsidRDefault="0087521B" w:rsidP="003529AB">
      <w:pPr>
        <w:pStyle w:val="SAH-BodyCopy11pt"/>
      </w:pPr>
      <w:r>
        <w:t>Leah Marrone is the Administrator.</w:t>
      </w:r>
    </w:p>
    <w:p w:rsidR="0087521B" w:rsidRDefault="0087521B" w:rsidP="003529AB">
      <w:pPr>
        <w:pStyle w:val="SAH-BodyCopy11pt"/>
      </w:pPr>
      <w:r>
        <w:t>The opening balance was $78,598.06</w:t>
      </w:r>
    </w:p>
    <w:p w:rsidR="0087521B" w:rsidRDefault="0087521B" w:rsidP="003529AB">
      <w:pPr>
        <w:pStyle w:val="SAH-BodyCopy11pt"/>
      </w:pPr>
      <w:r>
        <w:t xml:space="preserve">The closing balance was </w:t>
      </w:r>
      <w:r w:rsidR="00EB3AC7">
        <w:t>$78,119.40</w:t>
      </w:r>
    </w:p>
    <w:p w:rsidR="00EB3AC7" w:rsidRDefault="00EB3AC7" w:rsidP="003529AB">
      <w:pPr>
        <w:pStyle w:val="SAH-BodyCopy11pt"/>
      </w:pPr>
      <w:r>
        <w:t>Our liabilities for unnamed credits in the sum of $928.00 have been transferred to funds.</w:t>
      </w:r>
    </w:p>
    <w:p w:rsidR="00EB3AC7" w:rsidRDefault="00EB3AC7" w:rsidP="003529AB">
      <w:pPr>
        <w:pStyle w:val="SAH-BodyCopy11pt"/>
      </w:pPr>
      <w:r>
        <w:t>I confirm that AWL is solvent and continues to be solvent.</w:t>
      </w:r>
    </w:p>
    <w:p w:rsidR="00EB3AC7" w:rsidRDefault="00EB3AC7" w:rsidP="003529AB">
      <w:pPr>
        <w:pStyle w:val="SAH-BodyCopy11pt"/>
      </w:pPr>
      <w:r>
        <w:t>I have no issues to raise as to the wellbeing of the organisation, however, I would like to prepare a written budget for the 23/24 financial year with the input of the board.</w:t>
      </w:r>
    </w:p>
    <w:p w:rsidR="007E6F17" w:rsidRDefault="003529AB" w:rsidP="003529AB">
      <w:pPr>
        <w:pStyle w:val="SAH-BodyCopy11pt"/>
      </w:pPr>
      <w:r w:rsidRPr="00EA066A">
        <w:rPr>
          <w:b/>
        </w:rPr>
        <w:t>Resolution</w:t>
      </w:r>
      <w:r w:rsidR="00CE7AF8">
        <w:rPr>
          <w:b/>
        </w:rPr>
        <w:t xml:space="preserve"> requests</w:t>
      </w:r>
      <w:r w:rsidRPr="00EA066A">
        <w:rPr>
          <w:b/>
        </w:rPr>
        <w:t>:</w:t>
      </w:r>
      <w:r>
        <w:t xml:space="preserve">  </w:t>
      </w:r>
      <w:r w:rsidR="007E6F17">
        <w:t>The presentation of the 22/23 audited report be deferred to a date to be advised. We received the financial report from the bookkeeper on 17 November 2023 and further documents are required by the auditor to complete the audit process.</w:t>
      </w:r>
    </w:p>
    <w:p w:rsidR="00CE7AF8" w:rsidRDefault="00CE7AF8" w:rsidP="003529AB">
      <w:pPr>
        <w:pStyle w:val="SAH-BodyCopy11pt"/>
      </w:pPr>
    </w:p>
    <w:p w:rsidR="00C5755B" w:rsidRDefault="00C5755B" w:rsidP="003529AB">
      <w:pPr>
        <w:pStyle w:val="SAH-BodyCopy11pt"/>
        <w:numPr>
          <w:ilvl w:val="0"/>
          <w:numId w:val="1"/>
        </w:numPr>
      </w:pPr>
      <w:r>
        <w:t xml:space="preserve">That new auditors be appointed for the 23/24 financial year. Catherine Cheek recommends that </w:t>
      </w:r>
      <w:r w:rsidR="00EB3AC7">
        <w:t xml:space="preserve">Grant Thornton be appointed as AWL auditors in place of Crowe </w:t>
      </w:r>
      <w:proofErr w:type="spellStart"/>
      <w:r w:rsidR="00EB3AC7">
        <w:t>Horwarth</w:t>
      </w:r>
      <w:proofErr w:type="spellEnd"/>
      <w:r w:rsidR="00EB3AC7">
        <w:t>, subject to Grant Thornton being agreeable to the appointment and subject to other recommendations throughout the year.</w:t>
      </w:r>
    </w:p>
    <w:p w:rsidR="00BD73A4" w:rsidRDefault="003529AB" w:rsidP="00EB3AC7">
      <w:pPr>
        <w:pStyle w:val="SAH-BodyCopy11pt"/>
        <w:numPr>
          <w:ilvl w:val="0"/>
          <w:numId w:val="1"/>
        </w:numPr>
      </w:pPr>
      <w:r>
        <w:t xml:space="preserve">Additional reporting requirements this year for the auditors </w:t>
      </w:r>
      <w:r w:rsidR="007E6F17">
        <w:t xml:space="preserve">due to a change </w:t>
      </w:r>
      <w:r w:rsidR="00BD73A4">
        <w:t>in audit requirements, namely:</w:t>
      </w:r>
    </w:p>
    <w:p w:rsidR="00BD73A4" w:rsidRDefault="00BD73A4" w:rsidP="00BD73A4">
      <w:pPr>
        <w:pStyle w:val="SAH-BodyCopy11pt"/>
        <w:numPr>
          <w:ilvl w:val="1"/>
          <w:numId w:val="1"/>
        </w:numPr>
      </w:pPr>
      <w:r>
        <w:lastRenderedPageBreak/>
        <w:t xml:space="preserve"> New in 2023 is Auditing Standard ASA 315 - Identifying and Assessing the Risks of Material Misstatement. This requires us to assess the process management undertake for identifying and assessing business risks relevant to financial reporting objectives. This includes risk identification, Assessments and process in place to mitigate risks in financial reporting. </w:t>
      </w:r>
    </w:p>
    <w:p w:rsidR="00BD73A4" w:rsidRDefault="00BD73A4" w:rsidP="00BD73A4">
      <w:pPr>
        <w:pStyle w:val="SAH-BodyCopy11pt"/>
        <w:ind w:left="1500"/>
      </w:pPr>
      <w:r>
        <w:t>Please provide the following:</w:t>
      </w:r>
    </w:p>
    <w:p w:rsidR="00BD73A4" w:rsidRDefault="00BD73A4" w:rsidP="00BD73A4">
      <w:pPr>
        <w:pStyle w:val="SAH-BodyCopy11pt"/>
        <w:numPr>
          <w:ilvl w:val="1"/>
          <w:numId w:val="1"/>
        </w:numPr>
      </w:pPr>
      <w:r>
        <w:t>Support for the consideration and documentation of the sources and potential likelihood of misstatements in the financial statements</w:t>
      </w:r>
    </w:p>
    <w:p w:rsidR="00BD73A4" w:rsidRDefault="00BD73A4" w:rsidP="00BD73A4">
      <w:pPr>
        <w:pStyle w:val="SAH-BodyCopy11pt"/>
        <w:numPr>
          <w:ilvl w:val="1"/>
          <w:numId w:val="1"/>
        </w:numPr>
      </w:pPr>
      <w:r>
        <w:t>Evaluation of the vulnerability to fraudulent activity, such as fraudulent financial report, fraud or corruption</w:t>
      </w:r>
    </w:p>
    <w:p w:rsidR="00BD73A4" w:rsidRDefault="00BD73A4" w:rsidP="00BD73A4">
      <w:pPr>
        <w:pStyle w:val="SAH-BodyCopy11pt"/>
        <w:numPr>
          <w:ilvl w:val="1"/>
          <w:numId w:val="1"/>
        </w:numPr>
      </w:pPr>
      <w:r>
        <w:t>Documentation of the controls in pace to adequately address the financial reporting risks. (</w:t>
      </w:r>
      <w:proofErr w:type="gramStart"/>
      <w:r>
        <w:t>the</w:t>
      </w:r>
      <w:proofErr w:type="gramEnd"/>
      <w:r>
        <w:t xml:space="preserve"> documentation does not need to include all controls that exist within a process that impacts on financial report. Rather the documentation should be focused on those controls that management concludes are required to address the more significant </w:t>
      </w:r>
      <w:r w:rsidR="00C5755B">
        <w:t>concludes are required to address the more significant financial report risks)</w:t>
      </w:r>
    </w:p>
    <w:p w:rsidR="00BD73A4" w:rsidRDefault="00EB3AC7" w:rsidP="00EB3AC7">
      <w:pPr>
        <w:pStyle w:val="SAH-BodyCopy11pt"/>
      </w:pPr>
      <w:r>
        <w:t>I am agreeable to remaining as Treasurer and I have been re-appointed as the WLAQ representative to the AWL until 30.06.2024.</w:t>
      </w:r>
    </w:p>
    <w:p w:rsidR="006B4E97" w:rsidRDefault="006B4E97"/>
    <w:sectPr w:rsidR="006B4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76224"/>
    <w:multiLevelType w:val="hybridMultilevel"/>
    <w:tmpl w:val="A57CF3C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97"/>
    <w:rsid w:val="00243CAD"/>
    <w:rsid w:val="00306888"/>
    <w:rsid w:val="003529AB"/>
    <w:rsid w:val="00450DD2"/>
    <w:rsid w:val="00614D34"/>
    <w:rsid w:val="006B4E97"/>
    <w:rsid w:val="00774561"/>
    <w:rsid w:val="007E6F17"/>
    <w:rsid w:val="0087521B"/>
    <w:rsid w:val="00BD73A4"/>
    <w:rsid w:val="00C5755B"/>
    <w:rsid w:val="00C94CD5"/>
    <w:rsid w:val="00CE7AF8"/>
    <w:rsid w:val="00E73F2A"/>
    <w:rsid w:val="00EB3AC7"/>
    <w:rsid w:val="00FA6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DD86"/>
  <w15:chartTrackingRefBased/>
  <w15:docId w15:val="{9E9C4800-80A1-4374-B32C-0CE9B446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H-BodyCopy11pt">
    <w:name w:val="SAH-Body Copy 11pt"/>
    <w:basedOn w:val="Normal"/>
    <w:link w:val="SAH-BodyCopy11ptChar"/>
    <w:rsid w:val="003529AB"/>
    <w:pPr>
      <w:widowControl w:val="0"/>
      <w:tabs>
        <w:tab w:val="left" w:pos="180"/>
      </w:tabs>
      <w:suppressAutoHyphens/>
      <w:autoSpaceDE w:val="0"/>
      <w:autoSpaceDN w:val="0"/>
      <w:adjustRightInd w:val="0"/>
      <w:spacing w:before="120" w:after="113" w:line="280" w:lineRule="atLeast"/>
      <w:textAlignment w:val="center"/>
    </w:pPr>
    <w:rPr>
      <w:rFonts w:ascii="Arial" w:eastAsia="Times New Roman" w:hAnsi="Arial" w:cs="Times New Roman"/>
      <w:color w:val="000000"/>
      <w:szCs w:val="18"/>
      <w:lang w:val="en-GB"/>
    </w:rPr>
  </w:style>
  <w:style w:type="character" w:customStyle="1" w:styleId="SAH-BodyCopy11ptChar">
    <w:name w:val="SAH-Body Copy 11pt Char"/>
    <w:basedOn w:val="DefaultParagraphFont"/>
    <w:link w:val="SAH-BodyCopy11pt"/>
    <w:rsid w:val="003529AB"/>
    <w:rPr>
      <w:rFonts w:ascii="Arial" w:eastAsia="Times New Roman" w:hAnsi="Arial" w:cs="Times New Roman"/>
      <w:color w:val="00000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547</Words>
  <Characters>2898</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Cheek | Kennedy Spanner Lawyers</dc:creator>
  <cp:keywords/>
  <dc:description/>
  <cp:lastModifiedBy>Catherine Cheek | Kennedy Spanner Lawyers</cp:lastModifiedBy>
  <cp:revision>3</cp:revision>
  <dcterms:created xsi:type="dcterms:W3CDTF">2023-11-17T01:16:00Z</dcterms:created>
  <dcterms:modified xsi:type="dcterms:W3CDTF">2023-11-17T06:27:00Z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2300005</vt:lpwstr>
  </property>
  <property fmtid="{D5CDD505-2E9C-101B-9397-08002B2CF9AE}" pid="3" name="DM_CLIENT">
    <vt:lpwstr>278</vt:lpwstr>
  </property>
  <property fmtid="{D5CDD505-2E9C-101B-9397-08002B2CF9AE}" pid="4" name="DM_AUTHOR">
    <vt:lpwstr>CC</vt:lpwstr>
  </property>
  <property fmtid="{D5CDD505-2E9C-101B-9397-08002B2CF9AE}" pid="5" name="DM_OPERATOR">
    <vt:lpwstr>CC</vt:lpwstr>
  </property>
  <property fmtid="{D5CDD505-2E9C-101B-9397-08002B2CF9AE}" pid="6" name="DM_DESCRIPTION">
    <vt:lpwstr>Treasurer's report - final</vt:lpwstr>
  </property>
  <property fmtid="{D5CDD505-2E9C-101B-9397-08002B2CF9AE}" pid="7" name="DM_PRECEDENT">
    <vt:lpwstr/>
  </property>
  <property fmtid="{D5CDD505-2E9C-101B-9397-08002B2CF9AE}" pid="8" name="DM_INSERTFOOTER">
    <vt:i4>0</vt:i4>
  </property>
  <property fmtid="{D5CDD505-2E9C-101B-9397-08002B2CF9AE}" pid="9" name="DM_FOOTER1STPAGE">
    <vt:i4>0</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278_2300005_083.docx</vt:lpwstr>
  </property>
  <property fmtid="{D5CDD505-2E9C-101B-9397-08002B2CF9AE}" pid="14" name="DM_PHONEBOOK">
    <vt:lpwstr>Lawyers1, Kennedy Spanner</vt:lpwstr>
  </property>
  <property fmtid="{D5CDD505-2E9C-101B-9397-08002B2CF9AE}" pid="15" name="DM_AFTYDOCID">
    <vt:i4>836769</vt:i4>
  </property>
</Properties>
</file>